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99" w:rsidRDefault="00BD48AE">
      <w:pPr>
        <w:ind w:left="1960"/>
        <w:rPr>
          <w:sz w:val="20"/>
          <w:szCs w:val="20"/>
        </w:rPr>
      </w:pPr>
      <w:r>
        <w:rPr>
          <w:rFonts w:eastAsia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51435</wp:posOffset>
            </wp:positionH>
            <wp:positionV relativeFrom="page">
              <wp:posOffset>34290</wp:posOffset>
            </wp:positionV>
            <wp:extent cx="7508875" cy="10620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7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44"/>
          <w:szCs w:val="44"/>
        </w:rPr>
        <w:t>Консультация для родителей.</w:t>
      </w:r>
    </w:p>
    <w:p w:rsidR="00CF0499" w:rsidRDefault="00CF0499">
      <w:pPr>
        <w:spacing w:line="149" w:lineRule="exact"/>
        <w:rPr>
          <w:sz w:val="24"/>
          <w:szCs w:val="24"/>
        </w:rPr>
      </w:pPr>
    </w:p>
    <w:p w:rsidR="00CF0499" w:rsidRDefault="00BD48AE">
      <w:pPr>
        <w:ind w:left="1100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«Роль детской книги в речевом развитии</w:t>
      </w:r>
    </w:p>
    <w:p w:rsidR="00CF0499" w:rsidRDefault="00BD48AE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ребенка».</w:t>
      </w:r>
    </w:p>
    <w:p w:rsidR="00CF0499" w:rsidRDefault="00CF0499">
      <w:pPr>
        <w:spacing w:line="149" w:lineRule="exact"/>
        <w:rPr>
          <w:sz w:val="24"/>
          <w:szCs w:val="24"/>
        </w:rPr>
      </w:pPr>
    </w:p>
    <w:p w:rsidR="00CF0499" w:rsidRDefault="00BD48AE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44"/>
          <w:szCs w:val="44"/>
        </w:rPr>
        <w:t>УЧИМСЯ РАССКАЗЫВАТЬ</w:t>
      </w:r>
    </w:p>
    <w:p w:rsidR="00CF0499" w:rsidRDefault="00CF0499">
      <w:pPr>
        <w:spacing w:line="168" w:lineRule="exact"/>
        <w:rPr>
          <w:sz w:val="24"/>
          <w:szCs w:val="24"/>
        </w:rPr>
      </w:pPr>
    </w:p>
    <w:p w:rsidR="00CF0499" w:rsidRDefault="00BD48AE">
      <w:pPr>
        <w:spacing w:line="246" w:lineRule="auto"/>
        <w:ind w:left="260" w:right="160" w:firstLine="559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 xml:space="preserve">Массовое явление, связанное с низким уровнем речевого развития детей, обусловлено серьезными причинами. Компьютер широко вошел в нашу повседневную жизнь. </w:t>
      </w:r>
      <w:r>
        <w:rPr>
          <w:rFonts w:eastAsia="Times New Roman"/>
          <w:sz w:val="31"/>
          <w:szCs w:val="31"/>
        </w:rPr>
        <w:t>Дети мало общаются, их речевой опыт ограничен, языковые средства несовершенны. Потребность речевого общения удовлетворяется недостаточно. Разговорная речь бедна, малословна. Резко снизился интерес детей</w:t>
      </w:r>
    </w:p>
    <w:p w:rsidR="00CF0499" w:rsidRDefault="00CF0499">
      <w:pPr>
        <w:spacing w:line="16" w:lineRule="exact"/>
        <w:rPr>
          <w:sz w:val="24"/>
          <w:szCs w:val="24"/>
        </w:rPr>
      </w:pPr>
    </w:p>
    <w:p w:rsidR="00CF0499" w:rsidRDefault="00BD48AE">
      <w:pPr>
        <w:numPr>
          <w:ilvl w:val="0"/>
          <w:numId w:val="1"/>
        </w:numPr>
        <w:tabs>
          <w:tab w:val="left" w:pos="495"/>
        </w:tabs>
        <w:spacing w:line="235" w:lineRule="auto"/>
        <w:ind w:left="260" w:right="240" w:firstLine="2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чтению. Социальные проблемы общества не позволяют ро</w:t>
      </w:r>
      <w:r>
        <w:rPr>
          <w:rFonts w:eastAsia="Times New Roman"/>
          <w:sz w:val="32"/>
          <w:szCs w:val="32"/>
        </w:rPr>
        <w:t>дителям уделять достаточно внимания всестороннему развитию своих детей.</w:t>
      </w:r>
    </w:p>
    <w:p w:rsidR="00CF0499" w:rsidRDefault="00CF0499">
      <w:pPr>
        <w:spacing w:line="155" w:lineRule="exact"/>
        <w:rPr>
          <w:sz w:val="24"/>
          <w:szCs w:val="24"/>
        </w:rPr>
      </w:pPr>
    </w:p>
    <w:p w:rsidR="00CF0499" w:rsidRDefault="00BD48AE">
      <w:pPr>
        <w:ind w:left="7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Ребенок-дошкольник является своеобразным «читателем».</w:t>
      </w:r>
    </w:p>
    <w:p w:rsidR="00CF0499" w:rsidRDefault="00BD48AE">
      <w:pPr>
        <w:ind w:left="260"/>
        <w:rPr>
          <w:sz w:val="20"/>
          <w:szCs w:val="20"/>
        </w:rPr>
      </w:pPr>
      <w:r>
        <w:rPr>
          <w:rFonts w:eastAsia="Times New Roman"/>
          <w:sz w:val="32"/>
          <w:szCs w:val="32"/>
          <w:highlight w:val="white"/>
        </w:rPr>
        <w:t>Слово «читатель» по отношению к дошкольному возрасту условно.</w:t>
      </w:r>
    </w:p>
    <w:p w:rsidR="00CF0499" w:rsidRDefault="00CF0499">
      <w:pPr>
        <w:spacing w:line="18" w:lineRule="exact"/>
        <w:rPr>
          <w:sz w:val="24"/>
          <w:szCs w:val="24"/>
        </w:rPr>
      </w:pPr>
    </w:p>
    <w:p w:rsidR="00CF0499" w:rsidRDefault="00BD48AE">
      <w:pPr>
        <w:numPr>
          <w:ilvl w:val="0"/>
          <w:numId w:val="2"/>
        </w:numPr>
        <w:tabs>
          <w:tab w:val="left" w:pos="553"/>
        </w:tabs>
        <w:spacing w:line="238" w:lineRule="auto"/>
        <w:ind w:left="260" w:firstLine="2"/>
        <w:rPr>
          <w:rFonts w:eastAsia="Times New Roman"/>
          <w:sz w:val="32"/>
          <w:szCs w:val="32"/>
          <w:highlight w:val="white"/>
        </w:rPr>
      </w:pPr>
      <w:r>
        <w:rPr>
          <w:rFonts w:eastAsia="Times New Roman"/>
          <w:sz w:val="32"/>
          <w:szCs w:val="32"/>
          <w:highlight w:val="white"/>
        </w:rPr>
        <w:t xml:space="preserve">действительности это слушатель, чья встреча с книгой полностью </w:t>
      </w:r>
      <w:r>
        <w:rPr>
          <w:rFonts w:eastAsia="Times New Roman"/>
          <w:sz w:val="32"/>
          <w:szCs w:val="32"/>
        </w:rPr>
        <w:t>определяется взрослым человеком, начиная от выбора текста для чтения и кончая продолжительностью общения с книгой. От взрослого в большей степени зависит и то, станет ли ребенок настоящим, увлеченным читателем или встреча с книгой в дошкольном возрасте мел</w:t>
      </w:r>
      <w:r>
        <w:rPr>
          <w:rFonts w:eastAsia="Times New Roman"/>
          <w:sz w:val="32"/>
          <w:szCs w:val="32"/>
        </w:rPr>
        <w:t>ькнет случайным, ничего не значащим эпизодом в его жизни.</w:t>
      </w:r>
    </w:p>
    <w:p w:rsidR="00CF0499" w:rsidRDefault="00CF0499">
      <w:pPr>
        <w:spacing w:line="156" w:lineRule="exact"/>
        <w:rPr>
          <w:sz w:val="24"/>
          <w:szCs w:val="24"/>
        </w:rPr>
      </w:pPr>
    </w:p>
    <w:p w:rsidR="00CF0499" w:rsidRDefault="00BD48AE">
      <w:pPr>
        <w:ind w:left="7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Но, чем же так страшно детское «не чтение»?</w:t>
      </w:r>
    </w:p>
    <w:p w:rsidR="00CF0499" w:rsidRDefault="00CF0499">
      <w:pPr>
        <w:spacing w:line="165" w:lineRule="exact"/>
        <w:rPr>
          <w:sz w:val="24"/>
          <w:szCs w:val="24"/>
        </w:rPr>
      </w:pPr>
    </w:p>
    <w:p w:rsidR="00CF0499" w:rsidRDefault="00BD48AE">
      <w:pPr>
        <w:spacing w:line="245" w:lineRule="auto"/>
        <w:ind w:left="260" w:right="1540"/>
        <w:rPr>
          <w:sz w:val="20"/>
          <w:szCs w:val="20"/>
        </w:rPr>
      </w:pPr>
      <w:r>
        <w:rPr>
          <w:rFonts w:eastAsia="Times New Roman"/>
          <w:sz w:val="31"/>
          <w:szCs w:val="31"/>
        </w:rPr>
        <w:t>Во-первых, обедняется словарный запас и как следствие, понижается уровень интеллектуальных возможностей.</w:t>
      </w:r>
    </w:p>
    <w:p w:rsidR="00CF0499" w:rsidRDefault="00CF0499">
      <w:pPr>
        <w:spacing w:line="158" w:lineRule="exact"/>
        <w:rPr>
          <w:sz w:val="24"/>
          <w:szCs w:val="24"/>
        </w:rPr>
      </w:pPr>
    </w:p>
    <w:p w:rsidR="00CF0499" w:rsidRDefault="00BD48AE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Во-вторых, нарушается процесс социализации, вх</w:t>
      </w:r>
      <w:r>
        <w:rPr>
          <w:rFonts w:eastAsia="Times New Roman"/>
          <w:sz w:val="32"/>
          <w:szCs w:val="32"/>
        </w:rPr>
        <w:t>ождения в общество, знакомство с его моральными и духовными ценностями, что порождает конфликт.</w:t>
      </w:r>
    </w:p>
    <w:p w:rsidR="00CF0499" w:rsidRDefault="00CF0499">
      <w:pPr>
        <w:spacing w:line="170" w:lineRule="exact"/>
        <w:rPr>
          <w:sz w:val="24"/>
          <w:szCs w:val="24"/>
        </w:rPr>
      </w:pPr>
    </w:p>
    <w:p w:rsidR="00CF0499" w:rsidRDefault="00BD48AE">
      <w:pPr>
        <w:spacing w:line="238" w:lineRule="auto"/>
        <w:ind w:left="260" w:right="60"/>
        <w:rPr>
          <w:sz w:val="20"/>
          <w:szCs w:val="20"/>
        </w:rPr>
      </w:pPr>
      <w:r>
        <w:rPr>
          <w:rFonts w:eastAsia="Times New Roman"/>
          <w:sz w:val="32"/>
          <w:szCs w:val="32"/>
          <w:highlight w:val="white"/>
        </w:rPr>
        <w:t xml:space="preserve">В-третьих, не читающие дети, вырастая, не приучают к книге своих </w:t>
      </w:r>
      <w:r>
        <w:rPr>
          <w:rFonts w:eastAsia="Times New Roman"/>
          <w:sz w:val="32"/>
          <w:szCs w:val="32"/>
        </w:rPr>
        <w:t>детей, что постепенно ведет к духовному отчуждению представителей различных поколений в семье.</w:t>
      </w:r>
      <w:r>
        <w:rPr>
          <w:rFonts w:eastAsia="Times New Roman"/>
          <w:sz w:val="32"/>
          <w:szCs w:val="32"/>
        </w:rPr>
        <w:t xml:space="preserve"> Формально – люди грамотны, они пишут, и читают, но уметь читать – не значит складывать из букв слова, это значит понимать прочитанное, вникать в смысл текста.</w:t>
      </w:r>
    </w:p>
    <w:p w:rsidR="00CF0499" w:rsidRDefault="00CF0499">
      <w:pPr>
        <w:sectPr w:rsidR="00CF0499">
          <w:pgSz w:w="11900" w:h="16838"/>
          <w:pgMar w:top="1282" w:right="866" w:bottom="729" w:left="1440" w:header="0" w:footer="0" w:gutter="0"/>
          <w:cols w:space="720" w:equalWidth="0">
            <w:col w:w="9600"/>
          </w:cols>
        </w:sectPr>
      </w:pPr>
    </w:p>
    <w:p w:rsidR="00CF0499" w:rsidRDefault="00BD48AE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13335</wp:posOffset>
            </wp:positionH>
            <wp:positionV relativeFrom="page">
              <wp:posOffset>34290</wp:posOffset>
            </wp:positionV>
            <wp:extent cx="7546975" cy="10629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32"/>
          <w:szCs w:val="32"/>
        </w:rPr>
        <w:t>Одна из самых важных задач обучения дошкольников родному языку – развитие связной речи. Каждый ребенок должен уметь содержательно, грамматически правильно, связно и последовательно излагать свои мысли. Это поможет ему преодолевать молчаливость и застенчиво</w:t>
      </w:r>
      <w:r>
        <w:rPr>
          <w:rFonts w:eastAsia="Times New Roman"/>
          <w:sz w:val="32"/>
          <w:szCs w:val="32"/>
        </w:rPr>
        <w:t xml:space="preserve">сть, быть общительным, </w:t>
      </w:r>
      <w:r>
        <w:rPr>
          <w:rFonts w:eastAsia="Times New Roman"/>
          <w:sz w:val="32"/>
          <w:szCs w:val="32"/>
          <w:highlight w:val="white"/>
        </w:rPr>
        <w:t xml:space="preserve">уверенным в своих силах. В то же время речь ребенка должна быть </w:t>
      </w:r>
      <w:r>
        <w:rPr>
          <w:rFonts w:eastAsia="Times New Roman"/>
          <w:sz w:val="32"/>
          <w:szCs w:val="32"/>
        </w:rPr>
        <w:t>живой, непосредственной, выразительной.</w:t>
      </w:r>
    </w:p>
    <w:p w:rsidR="00CF0499" w:rsidRDefault="00CF0499">
      <w:pPr>
        <w:spacing w:line="172" w:lineRule="exact"/>
        <w:rPr>
          <w:sz w:val="20"/>
          <w:szCs w:val="20"/>
        </w:rPr>
      </w:pPr>
    </w:p>
    <w:p w:rsidR="00CF0499" w:rsidRDefault="00BD48AE">
      <w:pPr>
        <w:spacing w:line="236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После пяти лет, когда у ребенка появляется достаточно большой запас знаний об окружающем мире, он с удовольствием начинает приду</w:t>
      </w:r>
      <w:r>
        <w:rPr>
          <w:rFonts w:eastAsia="Times New Roman"/>
          <w:sz w:val="32"/>
          <w:szCs w:val="32"/>
        </w:rPr>
        <w:t>мывать, сочинять, проявляя творчество.</w:t>
      </w:r>
    </w:p>
    <w:p w:rsidR="00CF0499" w:rsidRDefault="00CF0499">
      <w:pPr>
        <w:spacing w:line="170" w:lineRule="exact"/>
        <w:rPr>
          <w:sz w:val="20"/>
          <w:szCs w:val="20"/>
        </w:rPr>
      </w:pPr>
    </w:p>
    <w:p w:rsidR="00CF0499" w:rsidRDefault="00BD48AE">
      <w:pPr>
        <w:spacing w:line="234" w:lineRule="auto"/>
        <w:ind w:left="260" w:right="78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Помочь ребенку в придумывании рассказов и историй можно разными способами:</w:t>
      </w:r>
    </w:p>
    <w:p w:rsidR="00CF0499" w:rsidRDefault="00CF0499">
      <w:pPr>
        <w:spacing w:line="192" w:lineRule="exact"/>
        <w:rPr>
          <w:sz w:val="20"/>
          <w:szCs w:val="20"/>
        </w:rPr>
      </w:pPr>
    </w:p>
    <w:p w:rsidR="00CF0499" w:rsidRDefault="00BD48AE">
      <w:pPr>
        <w:numPr>
          <w:ilvl w:val="0"/>
          <w:numId w:val="3"/>
        </w:numPr>
        <w:tabs>
          <w:tab w:val="left" w:pos="980"/>
        </w:tabs>
        <w:spacing w:line="230" w:lineRule="auto"/>
        <w:ind w:left="980" w:right="2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в название хорошо знакомой сказки добавить слово, обозначающее какой-либо предмет. Например, «Волк, семеро козлят и компьютер», </w:t>
      </w:r>
      <w:r>
        <w:rPr>
          <w:rFonts w:eastAsia="Times New Roman"/>
          <w:sz w:val="32"/>
          <w:szCs w:val="32"/>
        </w:rPr>
        <w:t>«Мальчик-с-пальчик и паровоз» и т.п.;</w:t>
      </w:r>
    </w:p>
    <w:p w:rsidR="00CF0499" w:rsidRDefault="00CF0499">
      <w:pPr>
        <w:spacing w:line="195" w:lineRule="exact"/>
        <w:rPr>
          <w:rFonts w:ascii="Symbol" w:eastAsia="Symbol" w:hAnsi="Symbol" w:cs="Symbol"/>
          <w:sz w:val="32"/>
          <w:szCs w:val="32"/>
        </w:rPr>
      </w:pPr>
    </w:p>
    <w:p w:rsidR="00CF0499" w:rsidRDefault="00BD48AE">
      <w:pPr>
        <w:numPr>
          <w:ilvl w:val="0"/>
          <w:numId w:val="3"/>
        </w:numPr>
        <w:tabs>
          <w:tab w:val="left" w:pos="980"/>
        </w:tabs>
        <w:spacing w:line="238" w:lineRule="auto"/>
        <w:ind w:left="980" w:right="280" w:hanging="358"/>
        <w:rPr>
          <w:rFonts w:ascii="Symbol" w:eastAsia="Symbol" w:hAnsi="Symbol" w:cs="Symbol"/>
          <w:sz w:val="31"/>
          <w:szCs w:val="31"/>
        </w:rPr>
      </w:pPr>
      <w:r>
        <w:rPr>
          <w:rFonts w:eastAsia="Times New Roman"/>
          <w:sz w:val="31"/>
          <w:szCs w:val="31"/>
        </w:rPr>
        <w:t>сюжет знакомой сказки переместить в другое время и пространство. Например, «Жили-были старик со старухой в наши дни», «Красная Шапочка на необитаемом острове» и</w:t>
      </w:r>
    </w:p>
    <w:p w:rsidR="00CF0499" w:rsidRDefault="00CF0499">
      <w:pPr>
        <w:spacing w:line="1" w:lineRule="exact"/>
        <w:rPr>
          <w:rFonts w:ascii="Symbol" w:eastAsia="Symbol" w:hAnsi="Symbol" w:cs="Symbol"/>
          <w:sz w:val="31"/>
          <w:szCs w:val="31"/>
        </w:rPr>
      </w:pPr>
    </w:p>
    <w:p w:rsidR="00CF0499" w:rsidRDefault="00BD48AE">
      <w:pPr>
        <w:ind w:left="980"/>
        <w:rPr>
          <w:rFonts w:ascii="Symbol" w:eastAsia="Symbol" w:hAnsi="Symbol" w:cs="Symbol"/>
          <w:sz w:val="31"/>
          <w:szCs w:val="31"/>
        </w:rPr>
      </w:pPr>
      <w:r>
        <w:rPr>
          <w:rFonts w:eastAsia="Times New Roman"/>
          <w:sz w:val="32"/>
          <w:szCs w:val="32"/>
        </w:rPr>
        <w:t>т.п.;</w:t>
      </w:r>
    </w:p>
    <w:p w:rsidR="00CF0499" w:rsidRDefault="00CF0499">
      <w:pPr>
        <w:spacing w:line="191" w:lineRule="exact"/>
        <w:rPr>
          <w:rFonts w:ascii="Symbol" w:eastAsia="Symbol" w:hAnsi="Symbol" w:cs="Symbol"/>
          <w:sz w:val="31"/>
          <w:szCs w:val="31"/>
        </w:rPr>
      </w:pPr>
    </w:p>
    <w:p w:rsidR="00CF0499" w:rsidRDefault="00BD48AE">
      <w:pPr>
        <w:numPr>
          <w:ilvl w:val="0"/>
          <w:numId w:val="3"/>
        </w:numPr>
        <w:tabs>
          <w:tab w:val="left" w:pos="980"/>
        </w:tabs>
        <w:spacing w:line="234" w:lineRule="auto"/>
        <w:ind w:left="980" w:right="46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предложить ребенку изменить концовку сказки, исп</w:t>
      </w:r>
      <w:r>
        <w:rPr>
          <w:rFonts w:eastAsia="Times New Roman"/>
          <w:sz w:val="32"/>
          <w:szCs w:val="32"/>
        </w:rPr>
        <w:t>ользуя прием введения в сюжетное повествование какого-либо предмета, явления. Например, медвежата из сказки «Два жадных медвежонка» вместо сыра съедают таблетку от жадности;</w:t>
      </w:r>
    </w:p>
    <w:p w:rsidR="00CF0499" w:rsidRDefault="00CF0499">
      <w:pPr>
        <w:spacing w:line="196" w:lineRule="exact"/>
        <w:rPr>
          <w:rFonts w:ascii="Symbol" w:eastAsia="Symbol" w:hAnsi="Symbol" w:cs="Symbol"/>
          <w:sz w:val="32"/>
          <w:szCs w:val="32"/>
        </w:rPr>
      </w:pPr>
    </w:p>
    <w:p w:rsidR="00CF0499" w:rsidRDefault="00BD48AE">
      <w:pPr>
        <w:numPr>
          <w:ilvl w:val="0"/>
          <w:numId w:val="3"/>
        </w:numPr>
        <w:tabs>
          <w:tab w:val="left" w:pos="980"/>
        </w:tabs>
        <w:spacing w:line="226" w:lineRule="auto"/>
        <w:ind w:left="980" w:right="60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предложить заглянуть в прошлое или будущее сказочных героев: что было</w:t>
      </w:r>
    </w:p>
    <w:p w:rsidR="00CF0499" w:rsidRDefault="00CF0499">
      <w:pPr>
        <w:spacing w:line="191" w:lineRule="exact"/>
        <w:rPr>
          <w:rFonts w:ascii="Symbol" w:eastAsia="Symbol" w:hAnsi="Symbol" w:cs="Symbol"/>
          <w:sz w:val="32"/>
          <w:szCs w:val="32"/>
        </w:rPr>
      </w:pPr>
    </w:p>
    <w:p w:rsidR="00CF0499" w:rsidRDefault="00BD48AE">
      <w:pPr>
        <w:numPr>
          <w:ilvl w:val="0"/>
          <w:numId w:val="3"/>
        </w:numPr>
        <w:tabs>
          <w:tab w:val="left" w:pos="1059"/>
        </w:tabs>
        <w:spacing w:line="234" w:lineRule="auto"/>
        <w:ind w:left="980" w:right="80" w:hanging="358"/>
        <w:jc w:val="both"/>
        <w:rPr>
          <w:rFonts w:ascii="Symbol" w:eastAsia="Symbol" w:hAnsi="Symbol" w:cs="Symbol"/>
          <w:sz w:val="31"/>
          <w:szCs w:val="31"/>
        </w:rPr>
      </w:pPr>
      <w:r>
        <w:rPr>
          <w:rFonts w:eastAsia="Times New Roman"/>
          <w:sz w:val="31"/>
          <w:szCs w:val="31"/>
        </w:rPr>
        <w:t xml:space="preserve">раньше с </w:t>
      </w:r>
      <w:r>
        <w:rPr>
          <w:rFonts w:eastAsia="Times New Roman"/>
          <w:sz w:val="31"/>
          <w:szCs w:val="31"/>
        </w:rPr>
        <w:t>тем или иным героем, что может произойти потом; написать письмо своему любимому герою или автору сказки;</w:t>
      </w:r>
    </w:p>
    <w:p w:rsidR="00CF0499" w:rsidRDefault="00CF0499">
      <w:pPr>
        <w:spacing w:line="192" w:lineRule="exact"/>
        <w:rPr>
          <w:rFonts w:ascii="Symbol" w:eastAsia="Symbol" w:hAnsi="Symbol" w:cs="Symbol"/>
          <w:sz w:val="31"/>
          <w:szCs w:val="31"/>
        </w:rPr>
      </w:pPr>
    </w:p>
    <w:p w:rsidR="00CF0499" w:rsidRDefault="00BD48AE">
      <w:pPr>
        <w:numPr>
          <w:ilvl w:val="0"/>
          <w:numId w:val="3"/>
        </w:numPr>
        <w:tabs>
          <w:tab w:val="left" w:pos="1059"/>
        </w:tabs>
        <w:spacing w:line="226" w:lineRule="auto"/>
        <w:ind w:left="980" w:right="40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сочинить разговор сказочных персонажей по телефону (на любую тему);</w:t>
      </w:r>
    </w:p>
    <w:p w:rsidR="00CF0499" w:rsidRDefault="00CF0499">
      <w:pPr>
        <w:spacing w:line="193" w:lineRule="exact"/>
        <w:rPr>
          <w:rFonts w:ascii="Symbol" w:eastAsia="Symbol" w:hAnsi="Symbol" w:cs="Symbol"/>
          <w:sz w:val="32"/>
          <w:szCs w:val="32"/>
        </w:rPr>
      </w:pPr>
    </w:p>
    <w:p w:rsidR="00CF0499" w:rsidRDefault="00BD48AE">
      <w:pPr>
        <w:numPr>
          <w:ilvl w:val="0"/>
          <w:numId w:val="3"/>
        </w:numPr>
        <w:tabs>
          <w:tab w:val="left" w:pos="1138"/>
        </w:tabs>
        <w:spacing w:line="226" w:lineRule="auto"/>
        <w:ind w:left="980" w:right="1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придумать сказку по опорным словам. Например, ласточка, девочка, кот;</w:t>
      </w:r>
    </w:p>
    <w:p w:rsidR="00CF0499" w:rsidRDefault="00CF0499">
      <w:pPr>
        <w:spacing w:line="152" w:lineRule="exact"/>
        <w:rPr>
          <w:rFonts w:ascii="Symbol" w:eastAsia="Symbol" w:hAnsi="Symbol" w:cs="Symbol"/>
          <w:sz w:val="32"/>
          <w:szCs w:val="32"/>
        </w:rPr>
      </w:pPr>
    </w:p>
    <w:p w:rsidR="00CF0499" w:rsidRDefault="00BD48AE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рассказать</w:t>
      </w:r>
      <w:r>
        <w:rPr>
          <w:rFonts w:eastAsia="Times New Roman"/>
          <w:sz w:val="32"/>
          <w:szCs w:val="32"/>
        </w:rPr>
        <w:t xml:space="preserve"> историю от лица любого героя или предмета;</w:t>
      </w:r>
    </w:p>
    <w:p w:rsidR="00CF0499" w:rsidRDefault="00CF0499">
      <w:pPr>
        <w:sectPr w:rsidR="00CF0499">
          <w:pgSz w:w="11900" w:h="16838"/>
          <w:pgMar w:top="1147" w:right="986" w:bottom="1440" w:left="1440" w:header="0" w:footer="0" w:gutter="0"/>
          <w:cols w:space="720" w:equalWidth="0">
            <w:col w:w="9480"/>
          </w:cols>
        </w:sectPr>
      </w:pPr>
    </w:p>
    <w:p w:rsidR="00CF0499" w:rsidRDefault="00BD48AE">
      <w:pPr>
        <w:numPr>
          <w:ilvl w:val="0"/>
          <w:numId w:val="4"/>
        </w:numPr>
        <w:tabs>
          <w:tab w:val="left" w:pos="980"/>
        </w:tabs>
        <w:spacing w:line="231" w:lineRule="auto"/>
        <w:ind w:left="98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-196215</wp:posOffset>
            </wp:positionH>
            <wp:positionV relativeFrom="page">
              <wp:posOffset>-95250</wp:posOffset>
            </wp:positionV>
            <wp:extent cx="7556500" cy="10673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7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32"/>
          <w:szCs w:val="32"/>
        </w:rPr>
        <w:t>описать одно и то же событие с разных точек зрения. Например, от лица веселого</w:t>
      </w:r>
      <w:r>
        <w:rPr>
          <w:rFonts w:eastAsia="Times New Roman"/>
          <w:sz w:val="32"/>
          <w:szCs w:val="32"/>
        </w:rPr>
        <w:t xml:space="preserve"> человека и грустного человека и т.д.</w:t>
      </w:r>
    </w:p>
    <w:p w:rsidR="00CF0499" w:rsidRDefault="00CF0499">
      <w:pPr>
        <w:spacing w:line="192" w:lineRule="exact"/>
        <w:rPr>
          <w:rFonts w:ascii="Symbol" w:eastAsia="Symbol" w:hAnsi="Symbol" w:cs="Symbol"/>
          <w:sz w:val="32"/>
          <w:szCs w:val="32"/>
        </w:rPr>
      </w:pPr>
    </w:p>
    <w:p w:rsidR="00CF0499" w:rsidRPr="009F2C38" w:rsidRDefault="00BD48AE">
      <w:pPr>
        <w:numPr>
          <w:ilvl w:val="0"/>
          <w:numId w:val="4"/>
        </w:numPr>
        <w:tabs>
          <w:tab w:val="left" w:pos="980"/>
        </w:tabs>
        <w:spacing w:line="233" w:lineRule="auto"/>
        <w:ind w:left="980" w:right="460" w:hanging="358"/>
        <w:rPr>
          <w:rFonts w:ascii="Symbol" w:eastAsia="Symbol" w:hAnsi="Symbol" w:cs="Symbol"/>
          <w:sz w:val="32"/>
          <w:szCs w:val="32"/>
        </w:rPr>
      </w:pPr>
      <w:r>
        <w:rPr>
          <w:rFonts w:eastAsia="Times New Roman"/>
          <w:sz w:val="32"/>
          <w:szCs w:val="32"/>
        </w:rPr>
        <w:t>Очень хорошо сделать альбом детских рассказов, дать ему интересное назв</w:t>
      </w:r>
      <w:r>
        <w:rPr>
          <w:rFonts w:eastAsia="Times New Roman"/>
          <w:sz w:val="32"/>
          <w:szCs w:val="32"/>
        </w:rPr>
        <w:t>ание, предложить ребенку нарисовать к каждому рассказу иллюстрации. Это будет толчком для развития детского творчества.</w:t>
      </w:r>
    </w:p>
    <w:p w:rsidR="009F2C38" w:rsidRDefault="009F2C38" w:rsidP="009F2C38">
      <w:pPr>
        <w:pStyle w:val="a4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rPr>
          <w:rFonts w:ascii="Symbol" w:eastAsia="Symbol" w:hAnsi="Symbol" w:cs="Symbol"/>
          <w:sz w:val="32"/>
          <w:szCs w:val="32"/>
        </w:rPr>
      </w:pPr>
    </w:p>
    <w:p w:rsidR="009F2C38" w:rsidRDefault="009F2C38" w:rsidP="009F2C38">
      <w:pPr>
        <w:tabs>
          <w:tab w:val="left" w:pos="980"/>
        </w:tabs>
        <w:spacing w:line="233" w:lineRule="auto"/>
        <w:ind w:left="980" w:right="460"/>
        <w:jc w:val="right"/>
        <w:rPr>
          <w:rFonts w:eastAsia="Symbol"/>
          <w:sz w:val="32"/>
          <w:szCs w:val="32"/>
        </w:rPr>
      </w:pPr>
      <w:r>
        <w:rPr>
          <w:rFonts w:eastAsia="Symbol"/>
          <w:sz w:val="32"/>
          <w:szCs w:val="32"/>
        </w:rPr>
        <w:t>Воспитатель: Невская К.В.</w:t>
      </w:r>
    </w:p>
    <w:p w:rsidR="00CF0499" w:rsidRPr="009F2C38" w:rsidRDefault="009F2C38" w:rsidP="009F2C38">
      <w:pPr>
        <w:tabs>
          <w:tab w:val="left" w:pos="980"/>
        </w:tabs>
        <w:spacing w:line="233" w:lineRule="auto"/>
        <w:ind w:left="980" w:right="460"/>
        <w:jc w:val="right"/>
        <w:rPr>
          <w:rFonts w:eastAsia="Symbol"/>
          <w:sz w:val="32"/>
          <w:szCs w:val="32"/>
        </w:rPr>
        <w:sectPr w:rsidR="00CF0499" w:rsidRPr="009F2C38">
          <w:pgSz w:w="11900" w:h="16838"/>
          <w:pgMar w:top="1171" w:right="986" w:bottom="1440" w:left="1440" w:header="0" w:footer="0" w:gutter="0"/>
          <w:cols w:space="720" w:equalWidth="0">
            <w:col w:w="9480"/>
          </w:cols>
        </w:sectPr>
      </w:pPr>
      <w:r>
        <w:rPr>
          <w:rFonts w:ascii="Symbol" w:eastAsia="Symbol" w:hAnsi="Symbol" w:cs="Symbol"/>
          <w:sz w:val="32"/>
          <w:szCs w:val="32"/>
        </w:rPr>
        <w:t></w:t>
      </w:r>
      <w:r>
        <w:rPr>
          <w:rFonts w:ascii="Symbol" w:eastAsia="Symbol" w:hAnsi="Symbol" w:cs="Symbol"/>
          <w:sz w:val="32"/>
          <w:szCs w:val="32"/>
        </w:rPr>
        <w:t></w:t>
      </w:r>
      <w:r>
        <w:rPr>
          <w:rFonts w:ascii="Symbol" w:eastAsia="Symbol" w:hAnsi="Symbol" w:cs="Symbol"/>
          <w:sz w:val="32"/>
          <w:szCs w:val="32"/>
        </w:rPr>
        <w:t></w:t>
      </w:r>
      <w:r>
        <w:rPr>
          <w:rFonts w:ascii="Symbol" w:eastAsia="Symbol" w:hAnsi="Symbol" w:cs="Symbol"/>
          <w:sz w:val="32"/>
          <w:szCs w:val="32"/>
        </w:rPr>
        <w:t></w:t>
      </w:r>
      <w:r>
        <w:rPr>
          <w:rFonts w:ascii="Symbol" w:eastAsia="Symbol" w:hAnsi="Symbol" w:cs="Symbol"/>
          <w:sz w:val="32"/>
          <w:szCs w:val="32"/>
        </w:rPr>
        <w:t></w:t>
      </w:r>
      <w:r>
        <w:rPr>
          <w:rFonts w:eastAsia="Symbol"/>
          <w:sz w:val="32"/>
          <w:szCs w:val="32"/>
        </w:rPr>
        <w:t>г.</w:t>
      </w:r>
      <w:bookmarkStart w:id="0" w:name="_GoBack"/>
      <w:bookmarkEnd w:id="0"/>
    </w:p>
    <w:p w:rsidR="00BD48AE" w:rsidRDefault="00BD48AE"/>
    <w:sectPr w:rsidR="00BD48A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CD6"/>
    <w:multiLevelType w:val="hybridMultilevel"/>
    <w:tmpl w:val="99ECA148"/>
    <w:lvl w:ilvl="0" w:tplc="BB2AD41E">
      <w:start w:val="1"/>
      <w:numFmt w:val="bullet"/>
      <w:lvlText w:val="•"/>
      <w:lvlJc w:val="left"/>
    </w:lvl>
    <w:lvl w:ilvl="1" w:tplc="02689752">
      <w:numFmt w:val="decimal"/>
      <w:lvlText w:val=""/>
      <w:lvlJc w:val="left"/>
    </w:lvl>
    <w:lvl w:ilvl="2" w:tplc="9F7006C8">
      <w:numFmt w:val="decimal"/>
      <w:lvlText w:val=""/>
      <w:lvlJc w:val="left"/>
    </w:lvl>
    <w:lvl w:ilvl="3" w:tplc="64407242">
      <w:numFmt w:val="decimal"/>
      <w:lvlText w:val=""/>
      <w:lvlJc w:val="left"/>
    </w:lvl>
    <w:lvl w:ilvl="4" w:tplc="AF4A21D4">
      <w:numFmt w:val="decimal"/>
      <w:lvlText w:val=""/>
      <w:lvlJc w:val="left"/>
    </w:lvl>
    <w:lvl w:ilvl="5" w:tplc="16ECC058">
      <w:numFmt w:val="decimal"/>
      <w:lvlText w:val=""/>
      <w:lvlJc w:val="left"/>
    </w:lvl>
    <w:lvl w:ilvl="6" w:tplc="969C7CCE">
      <w:numFmt w:val="decimal"/>
      <w:lvlText w:val=""/>
      <w:lvlJc w:val="left"/>
    </w:lvl>
    <w:lvl w:ilvl="7" w:tplc="4BE6463E">
      <w:numFmt w:val="decimal"/>
      <w:lvlText w:val=""/>
      <w:lvlJc w:val="left"/>
    </w:lvl>
    <w:lvl w:ilvl="8" w:tplc="096CDBF2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82C4FC58"/>
    <w:lvl w:ilvl="0" w:tplc="79100128">
      <w:start w:val="1"/>
      <w:numFmt w:val="bullet"/>
      <w:lvlText w:val="В"/>
      <w:lvlJc w:val="left"/>
    </w:lvl>
    <w:lvl w:ilvl="1" w:tplc="B734E6D8">
      <w:numFmt w:val="decimal"/>
      <w:lvlText w:val=""/>
      <w:lvlJc w:val="left"/>
    </w:lvl>
    <w:lvl w:ilvl="2" w:tplc="9760DAEE">
      <w:numFmt w:val="decimal"/>
      <w:lvlText w:val=""/>
      <w:lvlJc w:val="left"/>
    </w:lvl>
    <w:lvl w:ilvl="3" w:tplc="6DF01DD2">
      <w:numFmt w:val="decimal"/>
      <w:lvlText w:val=""/>
      <w:lvlJc w:val="left"/>
    </w:lvl>
    <w:lvl w:ilvl="4" w:tplc="730AB3EC">
      <w:numFmt w:val="decimal"/>
      <w:lvlText w:val=""/>
      <w:lvlJc w:val="left"/>
    </w:lvl>
    <w:lvl w:ilvl="5" w:tplc="0F9AFAD0">
      <w:numFmt w:val="decimal"/>
      <w:lvlText w:val=""/>
      <w:lvlJc w:val="left"/>
    </w:lvl>
    <w:lvl w:ilvl="6" w:tplc="9CF04E54">
      <w:numFmt w:val="decimal"/>
      <w:lvlText w:val=""/>
      <w:lvlJc w:val="left"/>
    </w:lvl>
    <w:lvl w:ilvl="7" w:tplc="616CCD9C">
      <w:numFmt w:val="decimal"/>
      <w:lvlText w:val=""/>
      <w:lvlJc w:val="left"/>
    </w:lvl>
    <w:lvl w:ilvl="8" w:tplc="81ECBE14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90941546"/>
    <w:lvl w:ilvl="0" w:tplc="9348A9BC">
      <w:start w:val="1"/>
      <w:numFmt w:val="bullet"/>
      <w:lvlText w:val="к"/>
      <w:lvlJc w:val="left"/>
    </w:lvl>
    <w:lvl w:ilvl="1" w:tplc="3490EADC">
      <w:numFmt w:val="decimal"/>
      <w:lvlText w:val=""/>
      <w:lvlJc w:val="left"/>
    </w:lvl>
    <w:lvl w:ilvl="2" w:tplc="89D0954C">
      <w:numFmt w:val="decimal"/>
      <w:lvlText w:val=""/>
      <w:lvlJc w:val="left"/>
    </w:lvl>
    <w:lvl w:ilvl="3" w:tplc="1B640A82">
      <w:numFmt w:val="decimal"/>
      <w:lvlText w:val=""/>
      <w:lvlJc w:val="left"/>
    </w:lvl>
    <w:lvl w:ilvl="4" w:tplc="6D8863A8">
      <w:numFmt w:val="decimal"/>
      <w:lvlText w:val=""/>
      <w:lvlJc w:val="left"/>
    </w:lvl>
    <w:lvl w:ilvl="5" w:tplc="C19C0F5A">
      <w:numFmt w:val="decimal"/>
      <w:lvlText w:val=""/>
      <w:lvlJc w:val="left"/>
    </w:lvl>
    <w:lvl w:ilvl="6" w:tplc="422AA9F8">
      <w:numFmt w:val="decimal"/>
      <w:lvlText w:val=""/>
      <w:lvlJc w:val="left"/>
    </w:lvl>
    <w:lvl w:ilvl="7" w:tplc="066EFB78">
      <w:numFmt w:val="decimal"/>
      <w:lvlText w:val=""/>
      <w:lvlJc w:val="left"/>
    </w:lvl>
    <w:lvl w:ilvl="8" w:tplc="B20ABEF6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5C163E8E"/>
    <w:lvl w:ilvl="0" w:tplc="40AA4D18">
      <w:start w:val="1"/>
      <w:numFmt w:val="bullet"/>
      <w:lvlText w:val="•"/>
      <w:lvlJc w:val="left"/>
    </w:lvl>
    <w:lvl w:ilvl="1" w:tplc="0122AEF0">
      <w:numFmt w:val="decimal"/>
      <w:lvlText w:val=""/>
      <w:lvlJc w:val="left"/>
    </w:lvl>
    <w:lvl w:ilvl="2" w:tplc="B0986684">
      <w:numFmt w:val="decimal"/>
      <w:lvlText w:val=""/>
      <w:lvlJc w:val="left"/>
    </w:lvl>
    <w:lvl w:ilvl="3" w:tplc="7248BC8E">
      <w:numFmt w:val="decimal"/>
      <w:lvlText w:val=""/>
      <w:lvlJc w:val="left"/>
    </w:lvl>
    <w:lvl w:ilvl="4" w:tplc="323C845A">
      <w:numFmt w:val="decimal"/>
      <w:lvlText w:val=""/>
      <w:lvlJc w:val="left"/>
    </w:lvl>
    <w:lvl w:ilvl="5" w:tplc="18386C54">
      <w:numFmt w:val="decimal"/>
      <w:lvlText w:val=""/>
      <w:lvlJc w:val="left"/>
    </w:lvl>
    <w:lvl w:ilvl="6" w:tplc="448038B0">
      <w:numFmt w:val="decimal"/>
      <w:lvlText w:val=""/>
      <w:lvlJc w:val="left"/>
    </w:lvl>
    <w:lvl w:ilvl="7" w:tplc="1EE6DE84">
      <w:numFmt w:val="decimal"/>
      <w:lvlText w:val=""/>
      <w:lvlJc w:val="left"/>
    </w:lvl>
    <w:lvl w:ilvl="8" w:tplc="2E74925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99"/>
    <w:rsid w:val="009F2C38"/>
    <w:rsid w:val="00BD48AE"/>
    <w:rsid w:val="00C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CDDB-7249-4453-8927-82AA8C28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2018-01-10T15:51:00Z</dcterms:created>
  <dcterms:modified xsi:type="dcterms:W3CDTF">2018-01-10T14:54:00Z</dcterms:modified>
</cp:coreProperties>
</file>